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044DBC27" w:rsidR="000C43C3" w:rsidRPr="00E85548" w:rsidRDefault="00BA2F65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</w:t>
      </w:r>
      <w:r w:rsidR="009F603F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p w14:paraId="3EB833A2" w14:textId="1876A8C9" w:rsidR="00E85548" w:rsidRDefault="00E85548">
      <w:pPr>
        <w:pStyle w:val="NormalWeb"/>
        <w:spacing w:before="0" w:beforeAutospacing="0" w:after="0" w:afterAutospacing="0"/>
        <w:ind w:firstLine="720"/>
      </w:pPr>
    </w:p>
    <w:p w14:paraId="7DB541F6" w14:textId="7530E797" w:rsidR="005D10B0" w:rsidRDefault="00261591" w:rsidP="005D10B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Temporary and t</w:t>
      </w:r>
      <w:r w:rsidR="009A59BC">
        <w:t>enure-track faculty trend younger (35-44),</w:t>
      </w:r>
      <w:r w:rsidR="005D10B0">
        <w:t xml:space="preserve"> with an increase in hiring from the 18-34 age group for tenure-track. T</w:t>
      </w:r>
      <w:r w:rsidR="009A59BC">
        <w:t xml:space="preserve">enured faculty </w:t>
      </w:r>
      <w:r w:rsidR="005D10B0">
        <w:t>are consistently</w:t>
      </w:r>
      <w:r w:rsidR="009A59BC">
        <w:t xml:space="preserve"> older (55+)</w:t>
      </w:r>
      <w:r w:rsidR="005D10B0">
        <w:t>.</w:t>
      </w:r>
    </w:p>
    <w:p w14:paraId="70318131" w14:textId="77777777" w:rsidR="005D10B0" w:rsidRDefault="005D10B0" w:rsidP="005D10B0">
      <w:pPr>
        <w:pStyle w:val="NormalWeb"/>
        <w:spacing w:before="0" w:beforeAutospacing="0" w:after="0" w:afterAutospacing="0"/>
        <w:ind w:left="720"/>
      </w:pPr>
    </w:p>
    <w:p w14:paraId="212B23C9" w14:textId="1C1BE51A" w:rsidR="005D10B0" w:rsidRDefault="005D10B0" w:rsidP="005D10B0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While other age groups remained the same or decreased in the adjunct pool, the 55-64 and 65+ groups continued to increase.</w:t>
      </w:r>
    </w:p>
    <w:p w14:paraId="2428D19F" w14:textId="4CFE9475" w:rsidR="00261591" w:rsidRDefault="00261591" w:rsidP="00261591">
      <w:pPr>
        <w:pStyle w:val="NormalWeb"/>
        <w:spacing w:before="0" w:beforeAutospacing="0" w:after="0" w:afterAutospacing="0"/>
      </w:pPr>
    </w:p>
    <w:p w14:paraId="5D922238" w14:textId="7AED6C7E" w:rsidR="00261591" w:rsidRDefault="00261591" w:rsidP="00B53C0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In a reflection of the larger community trends, Black or African American classified staff trend older (</w:t>
      </w:r>
      <w:r w:rsidR="005D10B0">
        <w:t>4</w:t>
      </w:r>
      <w:r>
        <w:t>5</w:t>
      </w:r>
      <w:r w:rsidR="005D10B0">
        <w:t>-5</w:t>
      </w:r>
      <w:r>
        <w:t>4), while Latinx classified staff trend younger (18-54).</w:t>
      </w:r>
    </w:p>
    <w:p w14:paraId="0B115CD3" w14:textId="53D8413E" w:rsidR="009A59BC" w:rsidRPr="00E85548" w:rsidRDefault="009A59BC" w:rsidP="00B53C0C">
      <w:pPr>
        <w:pStyle w:val="NormalWeb"/>
        <w:spacing w:before="0" w:beforeAutospacing="0" w:after="0" w:afterAutospacing="0"/>
      </w:pPr>
    </w:p>
    <w:sectPr w:rsidR="009A59BC" w:rsidRPr="00E855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2903CE86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5D10B0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5D10B0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5729"/>
    <w:multiLevelType w:val="hybridMultilevel"/>
    <w:tmpl w:val="0CB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1D381F"/>
    <w:rsid w:val="00261591"/>
    <w:rsid w:val="003B1092"/>
    <w:rsid w:val="00536BDA"/>
    <w:rsid w:val="005D10B0"/>
    <w:rsid w:val="007541A1"/>
    <w:rsid w:val="008C45DF"/>
    <w:rsid w:val="009A59BC"/>
    <w:rsid w:val="009F603F"/>
    <w:rsid w:val="00A73578"/>
    <w:rsid w:val="00B53C0C"/>
    <w:rsid w:val="00B75C32"/>
    <w:rsid w:val="00BA2F65"/>
    <w:rsid w:val="00BF4F63"/>
    <w:rsid w:val="00C87627"/>
    <w:rsid w:val="00E4716D"/>
    <w:rsid w:val="00E61BA0"/>
    <w:rsid w:val="00E85548"/>
    <w:rsid w:val="00EB13F4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5</cp:revision>
  <dcterms:created xsi:type="dcterms:W3CDTF">2022-03-28T18:18:00Z</dcterms:created>
  <dcterms:modified xsi:type="dcterms:W3CDTF">2023-02-08T23:40:00Z</dcterms:modified>
</cp:coreProperties>
</file>